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B7" w:rsidRDefault="00CE467E" w:rsidP="00CE467E">
      <w:pPr>
        <w:pStyle w:val="Sansinterligne"/>
        <w:pBdr>
          <w:top w:val="single" w:sz="4" w:space="1" w:color="auto"/>
          <w:left w:val="single" w:sz="4" w:space="4" w:color="auto"/>
          <w:bottom w:val="single" w:sz="4" w:space="1" w:color="auto"/>
          <w:right w:val="single" w:sz="4" w:space="4" w:color="auto"/>
        </w:pBdr>
        <w:jc w:val="center"/>
        <w:rPr>
          <w:b/>
          <w:color w:val="002060"/>
          <w:sz w:val="32"/>
        </w:rPr>
      </w:pPr>
      <w:r w:rsidRPr="00CE467E">
        <w:rPr>
          <w:b/>
          <w:color w:val="002060"/>
          <w:sz w:val="32"/>
        </w:rPr>
        <w:t xml:space="preserve">ENTREE EN BCPST2   </w:t>
      </w:r>
      <w:r w:rsidR="00690392">
        <w:rPr>
          <w:b/>
          <w:color w:val="002060"/>
          <w:sz w:val="32"/>
        </w:rPr>
        <w:t>2017-2018</w:t>
      </w:r>
      <w:r w:rsidRPr="00CE467E">
        <w:rPr>
          <w:b/>
          <w:color w:val="002060"/>
          <w:sz w:val="32"/>
        </w:rPr>
        <w:t xml:space="preserve">    GEOGRAPHIE</w:t>
      </w:r>
    </w:p>
    <w:p w:rsidR="00CE467E" w:rsidRDefault="00CE467E" w:rsidP="00CE467E">
      <w:pPr>
        <w:pStyle w:val="Sansinterligne"/>
        <w:rPr>
          <w:b/>
          <w:color w:val="002060"/>
          <w:sz w:val="32"/>
        </w:rPr>
      </w:pPr>
    </w:p>
    <w:p w:rsidR="00CE467E" w:rsidRDefault="00CE467E" w:rsidP="00CE467E">
      <w:pPr>
        <w:pStyle w:val="Sansinterligne"/>
        <w:rPr>
          <w:b/>
          <w:color w:val="002060"/>
          <w:sz w:val="32"/>
        </w:rPr>
      </w:pPr>
      <w:r>
        <w:rPr>
          <w:b/>
          <w:color w:val="002060"/>
          <w:sz w:val="32"/>
        </w:rPr>
        <w:t xml:space="preserve">Les horaires et les cours </w:t>
      </w:r>
    </w:p>
    <w:p w:rsidR="00CE467E" w:rsidRPr="00CE467E" w:rsidRDefault="00690392" w:rsidP="00CE467E">
      <w:pPr>
        <w:pStyle w:val="Sansinterligne"/>
        <w:numPr>
          <w:ilvl w:val="0"/>
          <w:numId w:val="1"/>
        </w:numPr>
        <w:rPr>
          <w:b/>
          <w:color w:val="002060"/>
          <w:sz w:val="40"/>
        </w:rPr>
      </w:pPr>
      <w:r>
        <w:rPr>
          <w:noProof/>
          <w:lang w:eastAsia="fr-FR"/>
        </w:rPr>
        <w:drawing>
          <wp:anchor distT="0" distB="0" distL="114300" distR="114300" simplePos="0" relativeHeight="251658240" behindDoc="0" locked="0" layoutInCell="1" allowOverlap="1" wp14:anchorId="5995FBA6" wp14:editId="69E3EA57">
            <wp:simplePos x="0" y="0"/>
            <wp:positionH relativeFrom="margin">
              <wp:posOffset>-180975</wp:posOffset>
            </wp:positionH>
            <wp:positionV relativeFrom="margin">
              <wp:posOffset>935355</wp:posOffset>
            </wp:positionV>
            <wp:extent cx="1799590" cy="1739265"/>
            <wp:effectExtent l="0" t="0" r="0" b="0"/>
            <wp:wrapSquare wrapText="bothSides"/>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9590" cy="1739265"/>
                    </a:xfrm>
                    <a:prstGeom prst="rect">
                      <a:avLst/>
                    </a:prstGeom>
                    <a:noFill/>
                    <a:ln>
                      <a:noFill/>
                    </a:ln>
                  </pic:spPr>
                </pic:pic>
              </a:graphicData>
            </a:graphic>
          </wp:anchor>
        </w:drawing>
      </w:r>
      <w:r w:rsidR="00CE467E" w:rsidRPr="00CE467E">
        <w:rPr>
          <w:color w:val="002060"/>
          <w:sz w:val="28"/>
        </w:rPr>
        <w:t>Un cours d’une heure par quinzaine</w:t>
      </w:r>
    </w:p>
    <w:p w:rsidR="00CE467E" w:rsidRPr="00CE467E" w:rsidRDefault="00CE467E" w:rsidP="00CE467E">
      <w:pPr>
        <w:pStyle w:val="Sansinterligne"/>
        <w:numPr>
          <w:ilvl w:val="0"/>
          <w:numId w:val="1"/>
        </w:numPr>
        <w:rPr>
          <w:b/>
          <w:color w:val="002060"/>
          <w:sz w:val="40"/>
        </w:rPr>
      </w:pPr>
      <w:r w:rsidRPr="00CE467E">
        <w:rPr>
          <w:color w:val="002060"/>
          <w:sz w:val="28"/>
        </w:rPr>
        <w:t>Des</w:t>
      </w:r>
      <w:r>
        <w:rPr>
          <w:color w:val="002060"/>
          <w:sz w:val="28"/>
        </w:rPr>
        <w:t xml:space="preserve"> </w:t>
      </w:r>
      <w:r w:rsidRPr="00CE467E">
        <w:rPr>
          <w:color w:val="002060"/>
          <w:sz w:val="28"/>
        </w:rPr>
        <w:t xml:space="preserve">TD d’une heure par semaine pour comprendre et utiliser les différents outils dont dispose le géographe. Les TD </w:t>
      </w:r>
      <w:r>
        <w:rPr>
          <w:color w:val="002060"/>
          <w:sz w:val="28"/>
        </w:rPr>
        <w:t xml:space="preserve">sont là pour </w:t>
      </w:r>
      <w:r w:rsidRPr="00CE467E">
        <w:rPr>
          <w:color w:val="002060"/>
          <w:sz w:val="28"/>
        </w:rPr>
        <w:t>permett</w:t>
      </w:r>
      <w:r w:rsidR="00075282">
        <w:rPr>
          <w:color w:val="002060"/>
          <w:sz w:val="28"/>
        </w:rPr>
        <w:t>r</w:t>
      </w:r>
      <w:r w:rsidRPr="00CE467E">
        <w:rPr>
          <w:color w:val="002060"/>
          <w:sz w:val="28"/>
        </w:rPr>
        <w:t>e de se familiariser avec différents outils et documents : les cartes au 1/50 000 et 1/25 000 constituent les documents de base. Elles sont complétées par des extraits de cartes topographiques antérieures ou d’échelles différentes, des cartes thématiques (carte de la végétation, plan de prévention des risques, cartes géologiques, etc.), des images de tous types (images satellites, photographies, croquis, etc.), des documents statistiques, des atlas, et des ressources géographiques issues d’internet.</w:t>
      </w:r>
    </w:p>
    <w:p w:rsidR="00CE467E" w:rsidRPr="00CE467E" w:rsidRDefault="00CE467E" w:rsidP="00CE467E">
      <w:pPr>
        <w:pStyle w:val="Sansinterligne"/>
        <w:numPr>
          <w:ilvl w:val="0"/>
          <w:numId w:val="1"/>
        </w:numPr>
        <w:rPr>
          <w:b/>
          <w:color w:val="002060"/>
          <w:sz w:val="40"/>
        </w:rPr>
      </w:pPr>
      <w:r>
        <w:rPr>
          <w:color w:val="002060"/>
          <w:sz w:val="28"/>
        </w:rPr>
        <w:t xml:space="preserve">Des </w:t>
      </w:r>
      <w:r w:rsidRPr="00CE467E">
        <w:rPr>
          <w:color w:val="002060"/>
          <w:sz w:val="28"/>
        </w:rPr>
        <w:t>colles toutes les 4 semaines</w:t>
      </w:r>
      <w:r w:rsidR="00075282">
        <w:rPr>
          <w:color w:val="002060"/>
          <w:sz w:val="28"/>
        </w:rPr>
        <w:t xml:space="preserve">, pour </w:t>
      </w:r>
      <w:r w:rsidR="00144CEB">
        <w:rPr>
          <w:color w:val="002060"/>
          <w:sz w:val="28"/>
        </w:rPr>
        <w:t>vous</w:t>
      </w:r>
      <w:r w:rsidR="00075282">
        <w:rPr>
          <w:color w:val="002060"/>
          <w:sz w:val="28"/>
        </w:rPr>
        <w:t xml:space="preserve"> préparer au concours. Elles sont centrées sur les cartes au 1/50 000 ou au 1/25 000. </w:t>
      </w:r>
    </w:p>
    <w:p w:rsidR="00D4621A" w:rsidRPr="00144CEB" w:rsidRDefault="00CE467E" w:rsidP="00144CEB">
      <w:pPr>
        <w:pStyle w:val="Sansinterligne"/>
        <w:rPr>
          <w:b/>
          <w:color w:val="002060"/>
          <w:sz w:val="28"/>
        </w:rPr>
      </w:pPr>
      <w:r>
        <w:rPr>
          <w:b/>
          <w:color w:val="002060"/>
          <w:sz w:val="32"/>
        </w:rPr>
        <w:t>Le programme</w:t>
      </w:r>
      <w:r w:rsidR="00690392">
        <w:rPr>
          <w:b/>
          <w:color w:val="002060"/>
          <w:sz w:val="32"/>
        </w:rPr>
        <w:t xml:space="preserve"> : </w:t>
      </w:r>
      <w:r w:rsidR="00D4621A" w:rsidRPr="00144CEB">
        <w:rPr>
          <w:b/>
          <w:color w:val="002060"/>
          <w:sz w:val="28"/>
        </w:rPr>
        <w:t xml:space="preserve">Environnement et aménagement durable des territoires ruraux et périurbains en France métropolitaine et ultramarine. </w:t>
      </w:r>
    </w:p>
    <w:p w:rsidR="00D4621A" w:rsidRDefault="00D4621A" w:rsidP="00D4621A">
      <w:pPr>
        <w:pStyle w:val="Sansinterligne"/>
        <w:numPr>
          <w:ilvl w:val="0"/>
          <w:numId w:val="1"/>
        </w:numPr>
        <w:rPr>
          <w:color w:val="002060"/>
          <w:sz w:val="28"/>
        </w:rPr>
      </w:pPr>
      <w:r>
        <w:rPr>
          <w:color w:val="002060"/>
          <w:sz w:val="28"/>
        </w:rPr>
        <w:t>Le but du programme est ambitieux : s</w:t>
      </w:r>
      <w:r w:rsidRPr="00D4621A">
        <w:rPr>
          <w:color w:val="002060"/>
          <w:sz w:val="28"/>
        </w:rPr>
        <w:t xml:space="preserve">ensibiliser les futurs agronomes et vétérinaires à des problématiques géographiques </w:t>
      </w:r>
      <w:r>
        <w:rPr>
          <w:color w:val="002060"/>
          <w:sz w:val="28"/>
        </w:rPr>
        <w:t xml:space="preserve">liées aux espaces ruraux, et </w:t>
      </w:r>
      <w:r w:rsidRPr="00D4621A">
        <w:rPr>
          <w:color w:val="002060"/>
          <w:sz w:val="28"/>
        </w:rPr>
        <w:t>les confronter de mani</w:t>
      </w:r>
      <w:r w:rsidR="00690392">
        <w:rPr>
          <w:color w:val="002060"/>
          <w:sz w:val="28"/>
        </w:rPr>
        <w:t xml:space="preserve">ère approfondie à des documents, </w:t>
      </w:r>
      <w:r w:rsidRPr="00D4621A">
        <w:rPr>
          <w:color w:val="002060"/>
          <w:sz w:val="28"/>
        </w:rPr>
        <w:t>dont la maîtrise leur sera</w:t>
      </w:r>
      <w:r>
        <w:rPr>
          <w:color w:val="002060"/>
          <w:sz w:val="28"/>
        </w:rPr>
        <w:t xml:space="preserve"> essentielle</w:t>
      </w:r>
      <w:r w:rsidRPr="00D4621A">
        <w:rPr>
          <w:color w:val="002060"/>
          <w:sz w:val="28"/>
        </w:rPr>
        <w:t xml:space="preserve"> dans</w:t>
      </w:r>
      <w:r>
        <w:rPr>
          <w:color w:val="002060"/>
          <w:sz w:val="28"/>
        </w:rPr>
        <w:t xml:space="preserve"> leur vie professionnelle</w:t>
      </w:r>
      <w:r w:rsidRPr="00D4621A">
        <w:rPr>
          <w:color w:val="002060"/>
          <w:sz w:val="28"/>
        </w:rPr>
        <w:t xml:space="preserve">. </w:t>
      </w:r>
    </w:p>
    <w:p w:rsidR="00D4621A" w:rsidRDefault="00D4621A" w:rsidP="00D4621A">
      <w:pPr>
        <w:pStyle w:val="Sansinterligne"/>
        <w:numPr>
          <w:ilvl w:val="0"/>
          <w:numId w:val="1"/>
        </w:numPr>
        <w:rPr>
          <w:color w:val="002060"/>
          <w:sz w:val="28"/>
        </w:rPr>
      </w:pPr>
      <w:r w:rsidRPr="00D4621A">
        <w:rPr>
          <w:color w:val="002060"/>
          <w:sz w:val="28"/>
        </w:rPr>
        <w:t>Ce programme doit permettre aux étudiants de pratiquer la géographie comme une discipline d’ouverture vers les sciences humaines et d’identification des enjeux sociétaux</w:t>
      </w:r>
      <w:r>
        <w:rPr>
          <w:color w:val="002060"/>
          <w:sz w:val="28"/>
        </w:rPr>
        <w:t xml:space="preserve"> : environnement, aménagement, </w:t>
      </w:r>
      <w:r w:rsidR="00535CED">
        <w:rPr>
          <w:color w:val="002060"/>
          <w:sz w:val="28"/>
        </w:rPr>
        <w:t>développement</w:t>
      </w:r>
      <w:r>
        <w:rPr>
          <w:color w:val="002060"/>
          <w:sz w:val="28"/>
        </w:rPr>
        <w:t xml:space="preserve"> durable… </w:t>
      </w:r>
    </w:p>
    <w:p w:rsidR="00D4621A" w:rsidRDefault="00D4621A" w:rsidP="00D4621A">
      <w:pPr>
        <w:pStyle w:val="Sansinterligne"/>
        <w:numPr>
          <w:ilvl w:val="0"/>
          <w:numId w:val="1"/>
        </w:numPr>
        <w:rPr>
          <w:color w:val="002060"/>
          <w:sz w:val="28"/>
        </w:rPr>
      </w:pPr>
      <w:r w:rsidRPr="00D4621A">
        <w:rPr>
          <w:color w:val="002060"/>
          <w:sz w:val="28"/>
        </w:rPr>
        <w:t>L’approche géographique utilise</w:t>
      </w:r>
      <w:r w:rsidR="00535CED">
        <w:rPr>
          <w:color w:val="002060"/>
          <w:sz w:val="28"/>
        </w:rPr>
        <w:t xml:space="preserve"> les acquis des sciences de la V</w:t>
      </w:r>
      <w:r w:rsidRPr="00D4621A">
        <w:rPr>
          <w:color w:val="002060"/>
          <w:sz w:val="28"/>
        </w:rPr>
        <w:t>ie et de la Terre de façon à croiser les regards autour de problématiques (ressources, risques...) d’objets d’étude (paysage, territoire), de documents et d’outils (cartes, images).</w:t>
      </w:r>
      <w:r w:rsidR="009A03D4">
        <w:rPr>
          <w:color w:val="002060"/>
          <w:sz w:val="28"/>
        </w:rPr>
        <w:t xml:space="preserve"> Les acquisitions en géologie sont très utiles. </w:t>
      </w:r>
    </w:p>
    <w:p w:rsidR="00261CE0" w:rsidRPr="00261CE0" w:rsidRDefault="00261CE0" w:rsidP="00261CE0">
      <w:pPr>
        <w:pStyle w:val="Sansinterligne"/>
        <w:rPr>
          <w:b/>
          <w:color w:val="002060"/>
          <w:sz w:val="28"/>
        </w:rPr>
      </w:pPr>
      <w:r w:rsidRPr="00261CE0">
        <w:rPr>
          <w:b/>
          <w:color w:val="002060"/>
          <w:sz w:val="28"/>
        </w:rPr>
        <w:t>Axes du programme :</w:t>
      </w:r>
    </w:p>
    <w:p w:rsidR="00261CE0" w:rsidRPr="00261CE0" w:rsidRDefault="00261CE0" w:rsidP="00997A03">
      <w:pPr>
        <w:pStyle w:val="Sansinterligne"/>
        <w:numPr>
          <w:ilvl w:val="0"/>
          <w:numId w:val="1"/>
        </w:numPr>
        <w:rPr>
          <w:color w:val="002060"/>
          <w:sz w:val="28"/>
        </w:rPr>
      </w:pPr>
      <w:r w:rsidRPr="00261CE0">
        <w:rPr>
          <w:b/>
          <w:color w:val="002060"/>
          <w:sz w:val="28"/>
        </w:rPr>
        <w:t>Environnement et milieux</w:t>
      </w:r>
      <w:r w:rsidRPr="00261CE0">
        <w:rPr>
          <w:color w:val="002060"/>
          <w:sz w:val="28"/>
        </w:rPr>
        <w:t> : ressources, gestion, protection. Saisir la diversité et la complexité des milieux dans leurs composantes naturelles et anthropisées au prisme des pratiques, des représentations et des politiques associées à ces espaces.</w:t>
      </w:r>
    </w:p>
    <w:p w:rsidR="00261CE0" w:rsidRPr="00261CE0" w:rsidRDefault="00261CE0" w:rsidP="001A729F">
      <w:pPr>
        <w:pStyle w:val="Sansinterligne"/>
        <w:numPr>
          <w:ilvl w:val="0"/>
          <w:numId w:val="1"/>
        </w:numPr>
        <w:rPr>
          <w:color w:val="002060"/>
          <w:sz w:val="28"/>
        </w:rPr>
      </w:pPr>
      <w:r w:rsidRPr="00261CE0">
        <w:rPr>
          <w:color w:val="002060"/>
          <w:sz w:val="28"/>
        </w:rPr>
        <w:t> </w:t>
      </w:r>
      <w:r w:rsidRPr="00261CE0">
        <w:rPr>
          <w:b/>
          <w:color w:val="002060"/>
          <w:sz w:val="28"/>
        </w:rPr>
        <w:t>Espaces productifs et dynamiques socio-économiques.</w:t>
      </w:r>
      <w:r w:rsidRPr="00261CE0">
        <w:rPr>
          <w:color w:val="002060"/>
          <w:sz w:val="28"/>
        </w:rPr>
        <w:t xml:space="preserve"> Dans un contexte de profondes mutations économiques et sociales pour partie liées aux processus de mondialisation, sont étudiés les filières productives et les acteurs qui structurent les territoires ruraux et périurbains.</w:t>
      </w:r>
    </w:p>
    <w:p w:rsidR="00261CE0" w:rsidRDefault="00261CE0" w:rsidP="00CC3161">
      <w:pPr>
        <w:pStyle w:val="Sansinterligne"/>
        <w:numPr>
          <w:ilvl w:val="0"/>
          <w:numId w:val="1"/>
        </w:numPr>
        <w:rPr>
          <w:color w:val="002060"/>
          <w:sz w:val="28"/>
        </w:rPr>
      </w:pPr>
      <w:r w:rsidRPr="00261CE0">
        <w:rPr>
          <w:color w:val="002060"/>
          <w:sz w:val="28"/>
        </w:rPr>
        <w:t> </w:t>
      </w:r>
      <w:r w:rsidRPr="00261CE0">
        <w:rPr>
          <w:b/>
          <w:color w:val="002060"/>
          <w:sz w:val="28"/>
        </w:rPr>
        <w:t>Aménagement des territoires</w:t>
      </w:r>
      <w:r w:rsidRPr="00261CE0">
        <w:rPr>
          <w:color w:val="002060"/>
          <w:sz w:val="28"/>
        </w:rPr>
        <w:t>. Les enjeux du développement durable au sein des territoires ruraux et périurbains devienn</w:t>
      </w:r>
      <w:r>
        <w:rPr>
          <w:color w:val="002060"/>
          <w:sz w:val="28"/>
        </w:rPr>
        <w:t>e</w:t>
      </w:r>
      <w:r w:rsidRPr="00261CE0">
        <w:rPr>
          <w:color w:val="002060"/>
          <w:sz w:val="28"/>
        </w:rPr>
        <w:t>nt une préoccupation majeure des politiques d’aménagement. Confrontés à de nouvelles demandes et à de nouveaux cadres institutionnels, les acteurs, publics et privés, la société civile et le milieu associatif, apportent des réponses v</w:t>
      </w:r>
      <w:r>
        <w:rPr>
          <w:color w:val="002060"/>
          <w:sz w:val="28"/>
        </w:rPr>
        <w:t>ariées</w:t>
      </w:r>
      <w:r w:rsidRPr="00261CE0">
        <w:rPr>
          <w:color w:val="002060"/>
          <w:sz w:val="28"/>
        </w:rPr>
        <w:t>.</w:t>
      </w:r>
    </w:p>
    <w:p w:rsidR="00261CE0" w:rsidRPr="00261CE0" w:rsidRDefault="00261CE0" w:rsidP="00261CE0">
      <w:pPr>
        <w:pStyle w:val="Sansinterligne"/>
        <w:rPr>
          <w:b/>
          <w:color w:val="002060"/>
          <w:sz w:val="28"/>
        </w:rPr>
      </w:pPr>
      <w:r w:rsidRPr="00261CE0">
        <w:rPr>
          <w:b/>
          <w:color w:val="002060"/>
          <w:sz w:val="28"/>
        </w:rPr>
        <w:t>Compétences et mises en œuvre :</w:t>
      </w:r>
    </w:p>
    <w:p w:rsidR="00261CE0" w:rsidRDefault="00261CE0" w:rsidP="00261CE0">
      <w:pPr>
        <w:pStyle w:val="Sansinterligne"/>
        <w:numPr>
          <w:ilvl w:val="0"/>
          <w:numId w:val="1"/>
        </w:numPr>
        <w:rPr>
          <w:color w:val="002060"/>
          <w:sz w:val="28"/>
        </w:rPr>
      </w:pPr>
      <w:r w:rsidRPr="00261CE0">
        <w:rPr>
          <w:color w:val="002060"/>
          <w:sz w:val="28"/>
        </w:rPr>
        <w:t xml:space="preserve">Ce programme doit être abordé avec des documents qui permettent de diversifier les approches thématiques et régionales. La carte topographique, au 1/25 000ème comme </w:t>
      </w:r>
      <w:r w:rsidRPr="00261CE0">
        <w:rPr>
          <w:color w:val="002060"/>
          <w:sz w:val="28"/>
        </w:rPr>
        <w:lastRenderedPageBreak/>
        <w:t>au 1/50 000ème, est le document de base. A l’issue de leur année de formation les étudiants doivent être en mesure de savoir les lire avec précision et d’en proposer un commentaire problématisé</w:t>
      </w:r>
    </w:p>
    <w:p w:rsidR="00144CEB" w:rsidRPr="00261CE0" w:rsidRDefault="00144CEB" w:rsidP="00144CEB">
      <w:pPr>
        <w:pStyle w:val="Sansinterligne"/>
        <w:ind w:left="720"/>
        <w:rPr>
          <w:color w:val="002060"/>
          <w:sz w:val="28"/>
        </w:rPr>
      </w:pPr>
    </w:p>
    <w:tbl>
      <w:tblPr>
        <w:tblW w:w="107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50"/>
        <w:gridCol w:w="7315"/>
      </w:tblGrid>
      <w:tr w:rsidR="00144CEB" w:rsidRPr="00144CEB" w:rsidTr="00C537FD">
        <w:tc>
          <w:tcPr>
            <w:tcW w:w="3450" w:type="dxa"/>
            <w:tcBorders>
              <w:top w:val="outset" w:sz="6" w:space="0" w:color="auto"/>
              <w:left w:val="outset" w:sz="6" w:space="0" w:color="auto"/>
              <w:bottom w:val="outset" w:sz="6" w:space="0" w:color="auto"/>
              <w:right w:val="outset" w:sz="6" w:space="0" w:color="auto"/>
            </w:tcBorders>
            <w:shd w:val="clear" w:color="auto" w:fill="FFFFFF"/>
            <w:hideMark/>
          </w:tcPr>
          <w:p w:rsidR="00144CEB" w:rsidRPr="00261CE0" w:rsidRDefault="00144CEB" w:rsidP="00C537FD">
            <w:pPr>
              <w:spacing w:after="225" w:line="341" w:lineRule="atLeast"/>
              <w:rPr>
                <w:rFonts w:eastAsia="Times New Roman" w:cs="Times New Roman"/>
                <w:color w:val="002060"/>
                <w:sz w:val="28"/>
                <w:szCs w:val="28"/>
                <w:lang w:eastAsia="fr-FR"/>
              </w:rPr>
            </w:pPr>
            <w:r w:rsidRPr="00144CEB">
              <w:rPr>
                <w:rFonts w:eastAsia="Times New Roman" w:cs="Times New Roman"/>
                <w:b/>
                <w:bCs/>
                <w:color w:val="002060"/>
                <w:sz w:val="28"/>
                <w:szCs w:val="28"/>
                <w:lang w:eastAsia="fr-FR"/>
              </w:rPr>
              <w:t>Compétences spécifiques en géographie</w:t>
            </w:r>
          </w:p>
          <w:p w:rsidR="00144CEB" w:rsidRPr="00261CE0" w:rsidRDefault="00144CEB" w:rsidP="00C537FD">
            <w:pPr>
              <w:spacing w:after="225" w:line="341" w:lineRule="atLeast"/>
              <w:rPr>
                <w:rFonts w:eastAsia="Times New Roman" w:cs="Times New Roman"/>
                <w:color w:val="002060"/>
                <w:sz w:val="28"/>
                <w:szCs w:val="28"/>
                <w:lang w:eastAsia="fr-FR"/>
              </w:rPr>
            </w:pPr>
            <w:r w:rsidRPr="00261CE0">
              <w:rPr>
                <w:rFonts w:eastAsia="Times New Roman" w:cs="Times New Roman"/>
                <w:color w:val="002060"/>
                <w:sz w:val="28"/>
                <w:szCs w:val="28"/>
                <w:lang w:eastAsia="fr-FR"/>
              </w:rPr>
              <w:t> </w:t>
            </w:r>
          </w:p>
        </w:tc>
        <w:tc>
          <w:tcPr>
            <w:tcW w:w="7315" w:type="dxa"/>
            <w:tcBorders>
              <w:top w:val="outset" w:sz="6" w:space="0" w:color="auto"/>
              <w:left w:val="outset" w:sz="6" w:space="0" w:color="auto"/>
              <w:bottom w:val="outset" w:sz="6" w:space="0" w:color="auto"/>
              <w:right w:val="outset" w:sz="6" w:space="0" w:color="auto"/>
            </w:tcBorders>
            <w:shd w:val="clear" w:color="auto" w:fill="FFFFFF"/>
            <w:hideMark/>
          </w:tcPr>
          <w:p w:rsidR="00144CEB" w:rsidRPr="00144CEB" w:rsidRDefault="00144CEB" w:rsidP="006074C9">
            <w:pPr>
              <w:pStyle w:val="Sansinterligne"/>
              <w:numPr>
                <w:ilvl w:val="0"/>
                <w:numId w:val="1"/>
              </w:numPr>
              <w:rPr>
                <w:color w:val="002060"/>
                <w:sz w:val="28"/>
                <w:szCs w:val="28"/>
                <w:lang w:eastAsia="fr-FR"/>
              </w:rPr>
            </w:pPr>
            <w:r w:rsidRPr="00144CEB">
              <w:rPr>
                <w:color w:val="002060"/>
                <w:sz w:val="28"/>
                <w:szCs w:val="28"/>
                <w:lang w:eastAsia="fr-FR"/>
              </w:rPr>
              <w:t>Exploiter et confronter des  informations en fonction d’une thématique géographique appliquée à un territoire.</w:t>
            </w:r>
          </w:p>
          <w:p w:rsidR="00144CEB" w:rsidRPr="00144CEB" w:rsidRDefault="00144CEB" w:rsidP="006074C9">
            <w:pPr>
              <w:pStyle w:val="Sansinterligne"/>
              <w:numPr>
                <w:ilvl w:val="0"/>
                <w:numId w:val="1"/>
              </w:numPr>
              <w:rPr>
                <w:color w:val="002060"/>
                <w:sz w:val="28"/>
                <w:szCs w:val="28"/>
                <w:lang w:eastAsia="fr-FR"/>
              </w:rPr>
            </w:pPr>
            <w:r w:rsidRPr="00144CEB">
              <w:rPr>
                <w:color w:val="002060"/>
                <w:sz w:val="28"/>
                <w:szCs w:val="28"/>
                <w:lang w:eastAsia="fr-FR"/>
              </w:rPr>
              <w:t>Lire et analyser des documents géographiques : différents types de cartes et d’autres documents.</w:t>
            </w:r>
          </w:p>
          <w:p w:rsidR="00144CEB" w:rsidRPr="00144CEB" w:rsidRDefault="00144CEB" w:rsidP="006074C9">
            <w:pPr>
              <w:pStyle w:val="Sansinterligne"/>
              <w:numPr>
                <w:ilvl w:val="0"/>
                <w:numId w:val="1"/>
              </w:numPr>
              <w:rPr>
                <w:color w:val="002060"/>
                <w:sz w:val="28"/>
                <w:szCs w:val="28"/>
                <w:lang w:eastAsia="fr-FR"/>
              </w:rPr>
            </w:pPr>
            <w:r w:rsidRPr="00144CEB">
              <w:rPr>
                <w:color w:val="002060"/>
                <w:sz w:val="28"/>
                <w:szCs w:val="28"/>
                <w:lang w:eastAsia="fr-FR"/>
              </w:rPr>
              <w:t>Confronter des documents de type différent.</w:t>
            </w:r>
          </w:p>
          <w:p w:rsidR="00144CEB" w:rsidRPr="00144CEB" w:rsidRDefault="00144CEB" w:rsidP="006074C9">
            <w:pPr>
              <w:pStyle w:val="Sansinterligne"/>
              <w:numPr>
                <w:ilvl w:val="0"/>
                <w:numId w:val="1"/>
              </w:numPr>
              <w:rPr>
                <w:color w:val="002060"/>
                <w:sz w:val="28"/>
                <w:szCs w:val="28"/>
                <w:lang w:eastAsia="fr-FR"/>
              </w:rPr>
            </w:pPr>
            <w:r w:rsidRPr="00144CEB">
              <w:rPr>
                <w:color w:val="002060"/>
                <w:sz w:val="28"/>
                <w:szCs w:val="28"/>
                <w:lang w:eastAsia="fr-FR"/>
              </w:rPr>
              <w:t>Porter un regard critique sur des documents.</w:t>
            </w:r>
          </w:p>
          <w:p w:rsidR="00144CEB" w:rsidRPr="00144CEB" w:rsidRDefault="00144CEB" w:rsidP="006074C9">
            <w:pPr>
              <w:pStyle w:val="Sansinterligne"/>
              <w:numPr>
                <w:ilvl w:val="0"/>
                <w:numId w:val="1"/>
              </w:numPr>
              <w:rPr>
                <w:color w:val="002060"/>
                <w:sz w:val="28"/>
                <w:szCs w:val="28"/>
                <w:lang w:eastAsia="fr-FR"/>
              </w:rPr>
            </w:pPr>
            <w:r w:rsidRPr="00144CEB">
              <w:rPr>
                <w:color w:val="002060"/>
                <w:sz w:val="28"/>
                <w:szCs w:val="28"/>
                <w:lang w:eastAsia="fr-FR"/>
              </w:rPr>
              <w:t>Raisonner à différentes échelles.</w:t>
            </w:r>
          </w:p>
          <w:p w:rsidR="00144CEB" w:rsidRPr="00144CEB" w:rsidRDefault="00144CEB" w:rsidP="006074C9">
            <w:pPr>
              <w:pStyle w:val="Sansinterligne"/>
              <w:numPr>
                <w:ilvl w:val="0"/>
                <w:numId w:val="1"/>
              </w:numPr>
              <w:rPr>
                <w:color w:val="002060"/>
                <w:sz w:val="28"/>
                <w:szCs w:val="28"/>
                <w:lang w:eastAsia="fr-FR"/>
              </w:rPr>
            </w:pPr>
            <w:r w:rsidRPr="00144CEB">
              <w:rPr>
                <w:color w:val="002060"/>
                <w:sz w:val="28"/>
                <w:szCs w:val="28"/>
                <w:lang w:eastAsia="fr-FR"/>
              </w:rPr>
              <w:t>Mettre en évidence des enjeux territoriaux à partir des documents.</w:t>
            </w:r>
          </w:p>
        </w:tc>
      </w:tr>
      <w:tr w:rsidR="00144CEB" w:rsidRPr="00144CEB" w:rsidTr="00C537FD">
        <w:tc>
          <w:tcPr>
            <w:tcW w:w="3450" w:type="dxa"/>
            <w:tcBorders>
              <w:top w:val="outset" w:sz="6" w:space="0" w:color="auto"/>
              <w:left w:val="outset" w:sz="6" w:space="0" w:color="auto"/>
              <w:bottom w:val="outset" w:sz="6" w:space="0" w:color="auto"/>
              <w:right w:val="outset" w:sz="6" w:space="0" w:color="auto"/>
            </w:tcBorders>
            <w:shd w:val="clear" w:color="auto" w:fill="FFFFFF"/>
            <w:hideMark/>
          </w:tcPr>
          <w:p w:rsidR="00144CEB" w:rsidRPr="00261CE0" w:rsidRDefault="00144CEB" w:rsidP="00C537FD">
            <w:pPr>
              <w:spacing w:after="225" w:line="341" w:lineRule="atLeast"/>
              <w:rPr>
                <w:rFonts w:eastAsia="Times New Roman" w:cs="Times New Roman"/>
                <w:b/>
                <w:bCs/>
                <w:color w:val="002060"/>
                <w:sz w:val="28"/>
                <w:szCs w:val="28"/>
                <w:lang w:eastAsia="fr-FR"/>
              </w:rPr>
            </w:pPr>
            <w:r w:rsidRPr="00144CEB">
              <w:rPr>
                <w:rFonts w:eastAsia="Times New Roman" w:cs="Times New Roman"/>
                <w:b/>
                <w:bCs/>
                <w:color w:val="002060"/>
                <w:sz w:val="28"/>
                <w:szCs w:val="28"/>
                <w:lang w:eastAsia="fr-FR"/>
              </w:rPr>
              <w:t>Compétences de communication  orale</w:t>
            </w:r>
          </w:p>
        </w:tc>
        <w:tc>
          <w:tcPr>
            <w:tcW w:w="7315" w:type="dxa"/>
            <w:tcBorders>
              <w:top w:val="outset" w:sz="6" w:space="0" w:color="auto"/>
              <w:left w:val="outset" w:sz="6" w:space="0" w:color="auto"/>
              <w:bottom w:val="outset" w:sz="6" w:space="0" w:color="auto"/>
              <w:right w:val="outset" w:sz="6" w:space="0" w:color="auto"/>
            </w:tcBorders>
            <w:shd w:val="clear" w:color="auto" w:fill="FFFFFF"/>
            <w:hideMark/>
          </w:tcPr>
          <w:p w:rsidR="00144CEB" w:rsidRPr="00261CE0" w:rsidRDefault="00144CEB" w:rsidP="006074C9">
            <w:pPr>
              <w:pStyle w:val="Sansinterligne"/>
              <w:numPr>
                <w:ilvl w:val="0"/>
                <w:numId w:val="1"/>
              </w:numPr>
              <w:rPr>
                <w:color w:val="002060"/>
                <w:sz w:val="28"/>
                <w:szCs w:val="28"/>
                <w:lang w:eastAsia="fr-FR"/>
              </w:rPr>
            </w:pPr>
            <w:r w:rsidRPr="00261CE0">
              <w:rPr>
                <w:color w:val="002060"/>
                <w:sz w:val="28"/>
                <w:szCs w:val="28"/>
                <w:lang w:eastAsia="fr-FR"/>
              </w:rPr>
              <w:t>Maîtriser un ensemble documentaire inconnu.</w:t>
            </w:r>
          </w:p>
          <w:p w:rsidR="006074C9" w:rsidRPr="006074C9" w:rsidRDefault="00144CEB" w:rsidP="006074C9">
            <w:pPr>
              <w:pStyle w:val="Sansinterligne"/>
              <w:numPr>
                <w:ilvl w:val="0"/>
                <w:numId w:val="1"/>
              </w:numPr>
              <w:rPr>
                <w:rFonts w:eastAsia="Times New Roman" w:cs="Times New Roman"/>
                <w:color w:val="002060"/>
                <w:sz w:val="28"/>
                <w:szCs w:val="28"/>
                <w:lang w:eastAsia="fr-FR"/>
              </w:rPr>
            </w:pPr>
            <w:r w:rsidRPr="00261CE0">
              <w:rPr>
                <w:color w:val="002060"/>
                <w:sz w:val="28"/>
                <w:szCs w:val="28"/>
                <w:lang w:eastAsia="fr-FR"/>
              </w:rPr>
              <w:t>Argumenter.</w:t>
            </w:r>
          </w:p>
          <w:p w:rsidR="00144CEB" w:rsidRPr="00261CE0" w:rsidRDefault="00144CEB" w:rsidP="006074C9">
            <w:pPr>
              <w:pStyle w:val="Sansinterligne"/>
              <w:numPr>
                <w:ilvl w:val="0"/>
                <w:numId w:val="1"/>
              </w:numPr>
              <w:rPr>
                <w:rFonts w:eastAsia="Times New Roman" w:cs="Times New Roman"/>
                <w:color w:val="002060"/>
                <w:sz w:val="28"/>
                <w:szCs w:val="28"/>
                <w:lang w:eastAsia="fr-FR"/>
              </w:rPr>
            </w:pPr>
            <w:r w:rsidRPr="00261CE0">
              <w:rPr>
                <w:color w:val="002060"/>
                <w:sz w:val="28"/>
                <w:szCs w:val="28"/>
                <w:lang w:eastAsia="fr-FR"/>
              </w:rPr>
              <w:t>Dialoguer</w:t>
            </w:r>
            <w:r w:rsidRPr="00261CE0">
              <w:rPr>
                <w:rFonts w:eastAsia="Times New Roman" w:cs="Times New Roman"/>
                <w:color w:val="002060"/>
                <w:sz w:val="28"/>
                <w:szCs w:val="28"/>
                <w:lang w:eastAsia="fr-FR"/>
              </w:rPr>
              <w:t>.</w:t>
            </w:r>
          </w:p>
        </w:tc>
      </w:tr>
      <w:tr w:rsidR="00144CEB" w:rsidRPr="00144CEB" w:rsidTr="00C537FD">
        <w:tc>
          <w:tcPr>
            <w:tcW w:w="3450" w:type="dxa"/>
            <w:tcBorders>
              <w:top w:val="outset" w:sz="6" w:space="0" w:color="auto"/>
              <w:left w:val="outset" w:sz="6" w:space="0" w:color="auto"/>
              <w:bottom w:val="outset" w:sz="6" w:space="0" w:color="auto"/>
              <w:right w:val="outset" w:sz="6" w:space="0" w:color="auto"/>
            </w:tcBorders>
            <w:shd w:val="clear" w:color="auto" w:fill="FFFFFF"/>
            <w:hideMark/>
          </w:tcPr>
          <w:p w:rsidR="00144CEB" w:rsidRPr="00261CE0" w:rsidRDefault="00144CEB" w:rsidP="00C537FD">
            <w:pPr>
              <w:spacing w:after="225" w:line="341" w:lineRule="atLeast"/>
              <w:rPr>
                <w:rFonts w:eastAsia="Times New Roman" w:cs="Times New Roman"/>
                <w:b/>
                <w:bCs/>
                <w:color w:val="002060"/>
                <w:sz w:val="28"/>
                <w:szCs w:val="28"/>
                <w:lang w:eastAsia="fr-FR"/>
              </w:rPr>
            </w:pPr>
            <w:r w:rsidRPr="00144CEB">
              <w:rPr>
                <w:rFonts w:eastAsia="Times New Roman" w:cs="Times New Roman"/>
                <w:b/>
                <w:bCs/>
                <w:color w:val="002060"/>
                <w:sz w:val="28"/>
                <w:szCs w:val="28"/>
                <w:lang w:eastAsia="fr-FR"/>
              </w:rPr>
              <w:t>Compétences mobilisables en situation professionnelle</w:t>
            </w:r>
          </w:p>
          <w:p w:rsidR="00144CEB" w:rsidRPr="00261CE0" w:rsidRDefault="00144CEB" w:rsidP="00C537FD">
            <w:pPr>
              <w:spacing w:after="225" w:line="341" w:lineRule="atLeast"/>
              <w:rPr>
                <w:rFonts w:eastAsia="Times New Roman" w:cs="Times New Roman"/>
                <w:b/>
                <w:bCs/>
                <w:color w:val="002060"/>
                <w:sz w:val="28"/>
                <w:szCs w:val="28"/>
                <w:lang w:eastAsia="fr-FR"/>
              </w:rPr>
            </w:pPr>
            <w:r w:rsidRPr="00261CE0">
              <w:rPr>
                <w:rFonts w:eastAsia="Times New Roman" w:cs="Times New Roman"/>
                <w:b/>
                <w:bCs/>
                <w:color w:val="002060"/>
                <w:sz w:val="28"/>
                <w:szCs w:val="28"/>
                <w:lang w:eastAsia="fr-FR"/>
              </w:rPr>
              <w:t> </w:t>
            </w:r>
          </w:p>
        </w:tc>
        <w:tc>
          <w:tcPr>
            <w:tcW w:w="7315" w:type="dxa"/>
            <w:tcBorders>
              <w:top w:val="outset" w:sz="6" w:space="0" w:color="auto"/>
              <w:left w:val="outset" w:sz="6" w:space="0" w:color="auto"/>
              <w:bottom w:val="outset" w:sz="6" w:space="0" w:color="auto"/>
              <w:right w:val="outset" w:sz="6" w:space="0" w:color="auto"/>
            </w:tcBorders>
            <w:shd w:val="clear" w:color="auto" w:fill="FFFFFF"/>
            <w:hideMark/>
          </w:tcPr>
          <w:p w:rsidR="00144CEB" w:rsidRPr="00261CE0" w:rsidRDefault="00144CEB" w:rsidP="006074C9">
            <w:pPr>
              <w:pStyle w:val="Sansinterligne"/>
              <w:numPr>
                <w:ilvl w:val="0"/>
                <w:numId w:val="1"/>
              </w:numPr>
              <w:rPr>
                <w:color w:val="002060"/>
                <w:sz w:val="28"/>
                <w:szCs w:val="28"/>
                <w:lang w:eastAsia="fr-FR"/>
              </w:rPr>
            </w:pPr>
            <w:r w:rsidRPr="00261CE0">
              <w:rPr>
                <w:color w:val="002060"/>
                <w:sz w:val="28"/>
                <w:szCs w:val="28"/>
                <w:lang w:eastAsia="fr-FR"/>
              </w:rPr>
              <w:t>Appliquer des connaissances dans une situation territoriale concrète.</w:t>
            </w:r>
          </w:p>
          <w:p w:rsidR="00144CEB" w:rsidRPr="00261CE0" w:rsidRDefault="00144CEB" w:rsidP="006074C9">
            <w:pPr>
              <w:pStyle w:val="Sansinterligne"/>
              <w:numPr>
                <w:ilvl w:val="0"/>
                <w:numId w:val="1"/>
              </w:numPr>
              <w:rPr>
                <w:color w:val="002060"/>
                <w:sz w:val="28"/>
                <w:szCs w:val="28"/>
                <w:lang w:eastAsia="fr-FR"/>
              </w:rPr>
            </w:pPr>
            <w:r w:rsidRPr="00261CE0">
              <w:rPr>
                <w:color w:val="002060"/>
                <w:sz w:val="28"/>
                <w:szCs w:val="28"/>
                <w:lang w:eastAsia="fr-FR"/>
              </w:rPr>
              <w:t xml:space="preserve">Connaître  les acteurs du monde rural (élus, professionnels, associations,  usagers, </w:t>
            </w:r>
            <w:proofErr w:type="spellStart"/>
            <w:r w:rsidRPr="00261CE0">
              <w:rPr>
                <w:color w:val="002060"/>
                <w:sz w:val="28"/>
                <w:szCs w:val="28"/>
                <w:lang w:eastAsia="fr-FR"/>
              </w:rPr>
              <w:t>etc</w:t>
            </w:r>
            <w:proofErr w:type="spellEnd"/>
            <w:r w:rsidRPr="00261CE0">
              <w:rPr>
                <w:color w:val="002060"/>
                <w:sz w:val="28"/>
                <w:szCs w:val="28"/>
                <w:lang w:eastAsia="fr-FR"/>
              </w:rPr>
              <w:t>) et leurs logiques.</w:t>
            </w:r>
          </w:p>
          <w:p w:rsidR="00144CEB" w:rsidRPr="00261CE0" w:rsidRDefault="00144CEB" w:rsidP="006074C9">
            <w:pPr>
              <w:pStyle w:val="Sansinterligne"/>
              <w:numPr>
                <w:ilvl w:val="0"/>
                <w:numId w:val="1"/>
              </w:numPr>
              <w:rPr>
                <w:rFonts w:eastAsia="Times New Roman" w:cs="Times New Roman"/>
                <w:color w:val="002060"/>
                <w:sz w:val="28"/>
                <w:szCs w:val="28"/>
                <w:lang w:eastAsia="fr-FR"/>
              </w:rPr>
            </w:pPr>
            <w:r w:rsidRPr="00261CE0">
              <w:rPr>
                <w:color w:val="002060"/>
                <w:sz w:val="28"/>
                <w:szCs w:val="28"/>
                <w:lang w:eastAsia="fr-FR"/>
              </w:rPr>
              <w:t>Envisager des solutions multiples réalistes.</w:t>
            </w:r>
            <w:bookmarkStart w:id="0" w:name="_GoBack"/>
            <w:bookmarkEnd w:id="0"/>
          </w:p>
        </w:tc>
      </w:tr>
    </w:tbl>
    <w:p w:rsidR="00CE467E" w:rsidRDefault="00CE467E" w:rsidP="00CE467E">
      <w:pPr>
        <w:pStyle w:val="Sansinterligne"/>
        <w:rPr>
          <w:b/>
          <w:color w:val="002060"/>
          <w:sz w:val="32"/>
        </w:rPr>
      </w:pPr>
      <w:r>
        <w:rPr>
          <w:b/>
          <w:color w:val="002060"/>
          <w:sz w:val="32"/>
        </w:rPr>
        <w:t xml:space="preserve">L’épreuve de géographie au concours </w:t>
      </w:r>
    </w:p>
    <w:p w:rsidR="00075282" w:rsidRDefault="00075282" w:rsidP="00075282">
      <w:pPr>
        <w:pStyle w:val="Sansinterligne"/>
        <w:numPr>
          <w:ilvl w:val="0"/>
          <w:numId w:val="1"/>
        </w:numPr>
        <w:rPr>
          <w:color w:val="002060"/>
          <w:sz w:val="28"/>
        </w:rPr>
      </w:pPr>
      <w:r w:rsidRPr="00075282">
        <w:rPr>
          <w:color w:val="002060"/>
          <w:sz w:val="28"/>
        </w:rPr>
        <w:t xml:space="preserve">Le temps de préparation de l’oral est de 45 minutes. </w:t>
      </w:r>
      <w:r>
        <w:rPr>
          <w:color w:val="002060"/>
          <w:sz w:val="28"/>
        </w:rPr>
        <w:t xml:space="preserve">Vous disposez d’un atlas. </w:t>
      </w:r>
    </w:p>
    <w:p w:rsidR="00075282" w:rsidRDefault="00075282" w:rsidP="00075282">
      <w:pPr>
        <w:pStyle w:val="Sansinterligne"/>
        <w:numPr>
          <w:ilvl w:val="0"/>
          <w:numId w:val="1"/>
        </w:numPr>
        <w:rPr>
          <w:color w:val="002060"/>
          <w:sz w:val="28"/>
        </w:rPr>
      </w:pPr>
      <w:r w:rsidRPr="00075282">
        <w:rPr>
          <w:color w:val="002060"/>
          <w:sz w:val="28"/>
        </w:rPr>
        <w:t xml:space="preserve">L’oral dure 30 minutes avec un temps d’exposé de 20 minutes maximum, suivi d’un temps de questions avec l’examinateur de 10 minutes. </w:t>
      </w:r>
    </w:p>
    <w:p w:rsidR="00075282" w:rsidRDefault="00075282" w:rsidP="00075282">
      <w:pPr>
        <w:pStyle w:val="Sansinterligne"/>
        <w:numPr>
          <w:ilvl w:val="0"/>
          <w:numId w:val="1"/>
        </w:numPr>
        <w:rPr>
          <w:color w:val="002060"/>
          <w:sz w:val="28"/>
        </w:rPr>
      </w:pPr>
      <w:r w:rsidRPr="00075282">
        <w:rPr>
          <w:color w:val="002060"/>
          <w:sz w:val="28"/>
        </w:rPr>
        <w:t xml:space="preserve">L’épreuve comporte un sujet </w:t>
      </w:r>
      <w:r>
        <w:rPr>
          <w:color w:val="002060"/>
          <w:sz w:val="28"/>
        </w:rPr>
        <w:t xml:space="preserve">général ou </w:t>
      </w:r>
      <w:r w:rsidRPr="00075282">
        <w:rPr>
          <w:color w:val="002060"/>
          <w:sz w:val="28"/>
        </w:rPr>
        <w:t>une thématique qui oriente l’analyse du territoire concerné</w:t>
      </w:r>
      <w:r>
        <w:rPr>
          <w:color w:val="002060"/>
          <w:sz w:val="28"/>
        </w:rPr>
        <w:t>. Des documents sont proposés </w:t>
      </w:r>
      <w:r w:rsidR="00D4621A">
        <w:rPr>
          <w:color w:val="002060"/>
          <w:sz w:val="28"/>
        </w:rPr>
        <w:t>centrés</w:t>
      </w:r>
      <w:r w:rsidRPr="00075282">
        <w:rPr>
          <w:color w:val="002060"/>
          <w:sz w:val="28"/>
        </w:rPr>
        <w:t xml:space="preserve"> sur un territoire rura</w:t>
      </w:r>
      <w:r w:rsidR="00D4621A">
        <w:rPr>
          <w:color w:val="002060"/>
          <w:sz w:val="28"/>
        </w:rPr>
        <w:t>l ou périurbain français</w:t>
      </w:r>
      <w:r w:rsidRPr="00075282">
        <w:rPr>
          <w:color w:val="002060"/>
          <w:sz w:val="28"/>
        </w:rPr>
        <w:t xml:space="preserve"> métropolitaine ou ultramarin. La carte topographique, au 1/25 000 ou au 1/50 000, est le document de base. Elle est accompagnée de 1 à 3 documents complémentaires</w:t>
      </w:r>
      <w:r w:rsidR="00D4621A">
        <w:rPr>
          <w:color w:val="002060"/>
          <w:sz w:val="28"/>
        </w:rPr>
        <w:t xml:space="preserve"> par exemple des photos, des statistiques etc. </w:t>
      </w:r>
    </w:p>
    <w:p w:rsidR="00261CE0" w:rsidRPr="00261CE0" w:rsidRDefault="006E66DE" w:rsidP="006E66DE">
      <w:pPr>
        <w:pStyle w:val="Sansinterligne"/>
        <w:rPr>
          <w:b/>
          <w:color w:val="002060"/>
          <w:sz w:val="32"/>
        </w:rPr>
      </w:pPr>
      <w:r w:rsidRPr="006E66DE">
        <w:rPr>
          <w:b/>
          <w:color w:val="002060"/>
          <w:sz w:val="32"/>
        </w:rPr>
        <w:t xml:space="preserve">En attendant la rentrée </w:t>
      </w:r>
    </w:p>
    <w:p w:rsidR="00261CE0" w:rsidRDefault="004C13D3" w:rsidP="004C13D3">
      <w:pPr>
        <w:pStyle w:val="Sansinterligne"/>
        <w:numPr>
          <w:ilvl w:val="0"/>
          <w:numId w:val="1"/>
        </w:numPr>
        <w:rPr>
          <w:color w:val="002060"/>
          <w:sz w:val="28"/>
        </w:rPr>
      </w:pPr>
      <w:r>
        <w:rPr>
          <w:color w:val="002060"/>
          <w:sz w:val="28"/>
        </w:rPr>
        <w:t xml:space="preserve">Lisez attentivement cette présentation du programme, de l’épreuve, des enjeux… </w:t>
      </w:r>
    </w:p>
    <w:p w:rsidR="004C13D3" w:rsidRDefault="004C13D3" w:rsidP="004C13D3">
      <w:pPr>
        <w:pStyle w:val="Sansinterligne"/>
        <w:numPr>
          <w:ilvl w:val="0"/>
          <w:numId w:val="1"/>
        </w:numPr>
        <w:rPr>
          <w:color w:val="002060"/>
          <w:sz w:val="28"/>
        </w:rPr>
      </w:pPr>
      <w:r>
        <w:rPr>
          <w:color w:val="002060"/>
          <w:sz w:val="28"/>
        </w:rPr>
        <w:t xml:space="preserve">Intéressez-vous à tout ce qui </w:t>
      </w:r>
      <w:r w:rsidR="00A02747">
        <w:rPr>
          <w:color w:val="002060"/>
          <w:sz w:val="28"/>
        </w:rPr>
        <w:t xml:space="preserve">concerne la France rurale, l’agriculture, en lisant la presse essayez de collecter des articles ou cartes sur l’environnement, l’aménagement, le développement durable… </w:t>
      </w:r>
    </w:p>
    <w:p w:rsidR="00A02747" w:rsidRDefault="00A02747" w:rsidP="00A02747">
      <w:pPr>
        <w:pStyle w:val="Sansinterligne"/>
        <w:numPr>
          <w:ilvl w:val="0"/>
          <w:numId w:val="1"/>
        </w:numPr>
        <w:rPr>
          <w:color w:val="002060"/>
          <w:sz w:val="28"/>
        </w:rPr>
      </w:pPr>
      <w:r>
        <w:rPr>
          <w:color w:val="002060"/>
          <w:sz w:val="28"/>
        </w:rPr>
        <w:t xml:space="preserve">Un site </w:t>
      </w:r>
      <w:r w:rsidR="00690392">
        <w:rPr>
          <w:color w:val="002060"/>
          <w:sz w:val="28"/>
        </w:rPr>
        <w:t xml:space="preserve">pour </w:t>
      </w:r>
      <w:r>
        <w:rPr>
          <w:color w:val="002060"/>
          <w:sz w:val="28"/>
        </w:rPr>
        <w:t>vous aider</w:t>
      </w:r>
      <w:r w:rsidR="00AB3B4C">
        <w:rPr>
          <w:color w:val="002060"/>
          <w:sz w:val="28"/>
        </w:rPr>
        <w:t xml:space="preserve">, offrant ressources et </w:t>
      </w:r>
      <w:r w:rsidR="00690392">
        <w:rPr>
          <w:color w:val="002060"/>
          <w:sz w:val="28"/>
        </w:rPr>
        <w:t>exemples :</w:t>
      </w:r>
      <w:r>
        <w:rPr>
          <w:color w:val="002060"/>
          <w:sz w:val="28"/>
        </w:rPr>
        <w:t xml:space="preserve"> celui de </w:t>
      </w:r>
      <w:r w:rsidR="00AB3B4C">
        <w:rPr>
          <w:color w:val="002060"/>
          <w:sz w:val="28"/>
        </w:rPr>
        <w:t>« </w:t>
      </w:r>
      <w:r w:rsidRPr="00AB3B4C">
        <w:rPr>
          <w:b/>
          <w:i/>
          <w:color w:val="002060"/>
          <w:sz w:val="28"/>
        </w:rPr>
        <w:t>géoconfluences</w:t>
      </w:r>
      <w:r w:rsidR="00AB3B4C">
        <w:rPr>
          <w:color w:val="002060"/>
          <w:sz w:val="28"/>
        </w:rPr>
        <w:t> »</w:t>
      </w:r>
      <w:r>
        <w:rPr>
          <w:color w:val="002060"/>
          <w:sz w:val="28"/>
        </w:rPr>
        <w:t xml:space="preserve"> </w:t>
      </w:r>
      <w:hyperlink r:id="rId7" w:history="1">
        <w:r w:rsidR="00AB3B4C" w:rsidRPr="00F14DDF">
          <w:rPr>
            <w:rStyle w:val="Lienhypertexte"/>
            <w:sz w:val="28"/>
          </w:rPr>
          <w:t>http://geoconfluences.ens-lyon.fr/</w:t>
        </w:r>
      </w:hyperlink>
    </w:p>
    <w:p w:rsidR="00AB3B4C" w:rsidRDefault="00AB3B4C" w:rsidP="00AB3B4C">
      <w:pPr>
        <w:pStyle w:val="Sansinterligne"/>
        <w:numPr>
          <w:ilvl w:val="0"/>
          <w:numId w:val="1"/>
        </w:numPr>
        <w:rPr>
          <w:color w:val="002060"/>
          <w:sz w:val="28"/>
        </w:rPr>
      </w:pPr>
      <w:r>
        <w:rPr>
          <w:color w:val="002060"/>
          <w:sz w:val="28"/>
        </w:rPr>
        <w:t xml:space="preserve">Allez voir </w:t>
      </w:r>
      <w:r w:rsidRPr="00AB3B4C">
        <w:rPr>
          <w:color w:val="002060"/>
          <w:sz w:val="28"/>
        </w:rPr>
        <w:t xml:space="preserve">les atlas et globes virtuels tels que le </w:t>
      </w:r>
      <w:proofErr w:type="spellStart"/>
      <w:r w:rsidRPr="00AB3B4C">
        <w:rPr>
          <w:color w:val="002060"/>
          <w:sz w:val="28"/>
        </w:rPr>
        <w:t>Géoportail</w:t>
      </w:r>
      <w:proofErr w:type="spellEnd"/>
      <w:r w:rsidRPr="00AB3B4C">
        <w:rPr>
          <w:color w:val="002060"/>
          <w:sz w:val="28"/>
        </w:rPr>
        <w:t xml:space="preserve"> ou Google </w:t>
      </w:r>
      <w:proofErr w:type="spellStart"/>
      <w:r w:rsidRPr="00AB3B4C">
        <w:rPr>
          <w:color w:val="002060"/>
          <w:sz w:val="28"/>
        </w:rPr>
        <w:t>Earth</w:t>
      </w:r>
      <w:proofErr w:type="spellEnd"/>
    </w:p>
    <w:p w:rsidR="00690392" w:rsidRDefault="00690392" w:rsidP="00AB3B4C">
      <w:pPr>
        <w:pStyle w:val="Sansinterligne"/>
        <w:numPr>
          <w:ilvl w:val="0"/>
          <w:numId w:val="1"/>
        </w:numPr>
        <w:rPr>
          <w:b/>
          <w:color w:val="002060"/>
          <w:sz w:val="28"/>
        </w:rPr>
      </w:pPr>
      <w:r w:rsidRPr="00690392">
        <w:rPr>
          <w:b/>
          <w:color w:val="002060"/>
          <w:sz w:val="28"/>
        </w:rPr>
        <w:t xml:space="preserve">Apprenez la base de la géographie de la France : régions, fleuves, montagnes, villes, bassins, seuils… Vous aurez là-dessus une interrogation écrite à la rentrée. </w:t>
      </w:r>
    </w:p>
    <w:p w:rsidR="00690392" w:rsidRDefault="00690392" w:rsidP="00690392">
      <w:pPr>
        <w:pStyle w:val="Sansinterligne"/>
        <w:rPr>
          <w:b/>
          <w:color w:val="002060"/>
          <w:sz w:val="28"/>
        </w:rPr>
      </w:pPr>
    </w:p>
    <w:p w:rsidR="00690392" w:rsidRDefault="00690392" w:rsidP="00690392">
      <w:pPr>
        <w:pStyle w:val="Sansinterligne"/>
        <w:rPr>
          <w:b/>
          <w:color w:val="002060"/>
          <w:sz w:val="28"/>
        </w:rPr>
      </w:pPr>
      <w:r>
        <w:rPr>
          <w:b/>
          <w:color w:val="002060"/>
          <w:sz w:val="28"/>
        </w:rPr>
        <w:t xml:space="preserve">Bonnes vacances studieuses et reposantes à la fois. </w:t>
      </w:r>
    </w:p>
    <w:p w:rsidR="00690392" w:rsidRPr="00690392" w:rsidRDefault="00690392" w:rsidP="00690392">
      <w:pPr>
        <w:pStyle w:val="Sansinterligne"/>
        <w:rPr>
          <w:b/>
          <w:color w:val="002060"/>
          <w:sz w:val="28"/>
        </w:rPr>
      </w:pPr>
      <w:r>
        <w:rPr>
          <w:b/>
          <w:color w:val="002060"/>
          <w:sz w:val="28"/>
        </w:rPr>
        <w:t xml:space="preserve">Françoise LE GOAZIOU </w:t>
      </w:r>
    </w:p>
    <w:sectPr w:rsidR="00690392" w:rsidRPr="00690392" w:rsidSect="00CE467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B151C"/>
    <w:multiLevelType w:val="hybridMultilevel"/>
    <w:tmpl w:val="74E27F0E"/>
    <w:lvl w:ilvl="0" w:tplc="C19E4434">
      <w:numFmt w:val="bullet"/>
      <w:lvlText w:val="-"/>
      <w:lvlJc w:val="left"/>
      <w:pPr>
        <w:ind w:left="720" w:hanging="360"/>
      </w:pPr>
      <w:rPr>
        <w:rFonts w:ascii="Calibri" w:eastAsiaTheme="minorHAnsi" w:hAnsi="Calibri" w:cstheme="minorBidi"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7B53AA"/>
    <w:multiLevelType w:val="hybridMultilevel"/>
    <w:tmpl w:val="C93A4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7E"/>
    <w:rsid w:val="00075282"/>
    <w:rsid w:val="00144CEB"/>
    <w:rsid w:val="00261CE0"/>
    <w:rsid w:val="003A3944"/>
    <w:rsid w:val="004C13D3"/>
    <w:rsid w:val="00535CED"/>
    <w:rsid w:val="006074C9"/>
    <w:rsid w:val="00690392"/>
    <w:rsid w:val="006E66DE"/>
    <w:rsid w:val="0099771B"/>
    <w:rsid w:val="009A03D4"/>
    <w:rsid w:val="00A02747"/>
    <w:rsid w:val="00AB3B4C"/>
    <w:rsid w:val="00B25EA0"/>
    <w:rsid w:val="00C70986"/>
    <w:rsid w:val="00CE467E"/>
    <w:rsid w:val="00D46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467E"/>
    <w:pPr>
      <w:spacing w:after="0" w:line="240" w:lineRule="auto"/>
    </w:pPr>
  </w:style>
  <w:style w:type="paragraph" w:styleId="NormalWeb">
    <w:name w:val="Normal (Web)"/>
    <w:basedOn w:val="Normal"/>
    <w:uiPriority w:val="99"/>
    <w:semiHidden/>
    <w:unhideWhenUsed/>
    <w:rsid w:val="00261C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1CE0"/>
    <w:rPr>
      <w:b/>
      <w:bCs/>
    </w:rPr>
  </w:style>
  <w:style w:type="character" w:styleId="Accentuation">
    <w:name w:val="Emphasis"/>
    <w:basedOn w:val="Policepardfaut"/>
    <w:uiPriority w:val="20"/>
    <w:qFormat/>
    <w:rsid w:val="00261CE0"/>
    <w:rPr>
      <w:i/>
      <w:iCs/>
    </w:rPr>
  </w:style>
  <w:style w:type="paragraph" w:customStyle="1" w:styleId="listparagraph">
    <w:name w:val="listparagraph"/>
    <w:basedOn w:val="Normal"/>
    <w:rsid w:val="00261C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61CE0"/>
  </w:style>
  <w:style w:type="character" w:styleId="Lienhypertexte">
    <w:name w:val="Hyperlink"/>
    <w:basedOn w:val="Policepardfaut"/>
    <w:uiPriority w:val="99"/>
    <w:unhideWhenUsed/>
    <w:rsid w:val="00AB3B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467E"/>
    <w:pPr>
      <w:spacing w:after="0" w:line="240" w:lineRule="auto"/>
    </w:pPr>
  </w:style>
  <w:style w:type="paragraph" w:styleId="NormalWeb">
    <w:name w:val="Normal (Web)"/>
    <w:basedOn w:val="Normal"/>
    <w:uiPriority w:val="99"/>
    <w:semiHidden/>
    <w:unhideWhenUsed/>
    <w:rsid w:val="00261C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1CE0"/>
    <w:rPr>
      <w:b/>
      <w:bCs/>
    </w:rPr>
  </w:style>
  <w:style w:type="character" w:styleId="Accentuation">
    <w:name w:val="Emphasis"/>
    <w:basedOn w:val="Policepardfaut"/>
    <w:uiPriority w:val="20"/>
    <w:qFormat/>
    <w:rsid w:val="00261CE0"/>
    <w:rPr>
      <w:i/>
      <w:iCs/>
    </w:rPr>
  </w:style>
  <w:style w:type="paragraph" w:customStyle="1" w:styleId="listparagraph">
    <w:name w:val="listparagraph"/>
    <w:basedOn w:val="Normal"/>
    <w:rsid w:val="00261C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61CE0"/>
  </w:style>
  <w:style w:type="character" w:styleId="Lienhypertexte">
    <w:name w:val="Hyperlink"/>
    <w:basedOn w:val="Policepardfaut"/>
    <w:uiPriority w:val="99"/>
    <w:unhideWhenUsed/>
    <w:rsid w:val="00AB3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eoconfluences.ens-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3</cp:revision>
  <dcterms:created xsi:type="dcterms:W3CDTF">2017-07-02T21:00:00Z</dcterms:created>
  <dcterms:modified xsi:type="dcterms:W3CDTF">2017-07-02T21:48:00Z</dcterms:modified>
</cp:coreProperties>
</file>